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DF73" w14:textId="445C05B9" w:rsidR="00680937" w:rsidRPr="007C364B" w:rsidRDefault="007C364B" w:rsidP="003664A8">
      <w:pPr>
        <w:widowControl/>
        <w:tabs>
          <w:tab w:val="left" w:pos="1200"/>
          <w:tab w:val="left" w:pos="7215"/>
        </w:tabs>
        <w:autoSpaceDE w:val="0"/>
        <w:autoSpaceDN w:val="0"/>
        <w:snapToGrid w:val="0"/>
        <w:textAlignment w:val="bottom"/>
        <w:rPr>
          <w:rFonts w:eastAsia="標楷體" w:hint="eastAsia"/>
          <w:b/>
        </w:rPr>
      </w:pPr>
      <w:r>
        <w:rPr>
          <w:rFonts w:eastAsia="標楷體" w:hint="eastAsia"/>
          <w:b/>
        </w:rPr>
        <w:t xml:space="preserve">Talk: </w:t>
      </w:r>
      <w:r w:rsidR="005F37EC" w:rsidRPr="005F37EC">
        <w:rPr>
          <w:rFonts w:eastAsia="標楷體"/>
        </w:rPr>
        <w:t>Advanced Plasmonic Photoconductive Sources for Pulsed and Continuous-Wave Terahertz Generation</w:t>
      </w:r>
    </w:p>
    <w:p w14:paraId="3960055C" w14:textId="77777777" w:rsidR="00680937" w:rsidRPr="00514DD1" w:rsidRDefault="00680937" w:rsidP="003664A8">
      <w:pPr>
        <w:widowControl/>
        <w:tabs>
          <w:tab w:val="left" w:pos="1200"/>
          <w:tab w:val="left" w:pos="7215"/>
        </w:tabs>
        <w:autoSpaceDE w:val="0"/>
        <w:autoSpaceDN w:val="0"/>
        <w:snapToGrid w:val="0"/>
        <w:textAlignment w:val="bottom"/>
        <w:rPr>
          <w:rFonts w:eastAsia="標楷體"/>
          <w:b/>
        </w:rPr>
      </w:pPr>
    </w:p>
    <w:p w14:paraId="2FA3CEB3" w14:textId="246BC9DD" w:rsidR="003664A8" w:rsidRDefault="007C364B" w:rsidP="003664A8">
      <w:pPr>
        <w:widowControl/>
        <w:tabs>
          <w:tab w:val="left" w:pos="1200"/>
          <w:tab w:val="left" w:pos="7215"/>
        </w:tabs>
        <w:autoSpaceDE w:val="0"/>
        <w:autoSpaceDN w:val="0"/>
        <w:snapToGrid w:val="0"/>
        <w:textAlignment w:val="bottom"/>
        <w:rPr>
          <w:rFonts w:eastAsia="標楷體"/>
          <w:b/>
        </w:rPr>
      </w:pPr>
      <w:r>
        <w:rPr>
          <w:rFonts w:eastAsia="標楷體" w:hint="eastAsia"/>
          <w:b/>
        </w:rPr>
        <w:t>Abstract:</w:t>
      </w:r>
    </w:p>
    <w:p w14:paraId="2FBD4765" w14:textId="77777777" w:rsidR="007C364B" w:rsidRDefault="007C364B" w:rsidP="003664A8">
      <w:pPr>
        <w:widowControl/>
        <w:tabs>
          <w:tab w:val="left" w:pos="1200"/>
          <w:tab w:val="left" w:pos="7215"/>
        </w:tabs>
        <w:autoSpaceDE w:val="0"/>
        <w:autoSpaceDN w:val="0"/>
        <w:snapToGrid w:val="0"/>
        <w:textAlignment w:val="bottom"/>
        <w:rPr>
          <w:rFonts w:eastAsia="標楷體"/>
          <w:b/>
        </w:rPr>
      </w:pPr>
    </w:p>
    <w:p w14:paraId="4CACF77A" w14:textId="73326FB7" w:rsidR="000631F4" w:rsidRDefault="008A64DC" w:rsidP="008A64DC">
      <w:pPr>
        <w:widowControl/>
        <w:tabs>
          <w:tab w:val="left" w:pos="1200"/>
          <w:tab w:val="left" w:pos="7215"/>
        </w:tabs>
        <w:autoSpaceDE w:val="0"/>
        <w:autoSpaceDN w:val="0"/>
        <w:snapToGrid w:val="0"/>
        <w:jc w:val="both"/>
        <w:textAlignment w:val="bottom"/>
        <w:rPr>
          <w:rFonts w:eastAsia="標楷體" w:hint="eastAsia"/>
        </w:rPr>
      </w:pPr>
      <w:r w:rsidRPr="008A64DC">
        <w:rPr>
          <w:rFonts w:eastAsia="標楷體"/>
        </w:rPr>
        <w:t>Terahertz technology has attracted extensive attention because of its unique applications in environmental monitoring, space explorations, chemical identification, security screening, medical imaging, and biological sensing. In the meantime, the practical feasibility of many terahertz systems is still limited by the relatively low power, low efficiency, and bulky nature of existing terahertz sources. In this talk, I will present some of our recent results on achieving high-performance terahertz sources to mitigate performance limitations of e</w:t>
      </w:r>
      <w:bookmarkStart w:id="0" w:name="_GoBack"/>
      <w:bookmarkEnd w:id="0"/>
      <w:r w:rsidRPr="008A64DC">
        <w:rPr>
          <w:rFonts w:eastAsia="標楷體"/>
        </w:rPr>
        <w:t xml:space="preserve">xisting terahertz systems. By incorporating plasmonic contact electrodes on photoconductive antennas, we have successfully demonstrated high-performance photoconductive terahertz sources with record-high optical-to-terahertz conversion efficiencies and record-high power levels of several </w:t>
      </w:r>
      <w:proofErr w:type="spellStart"/>
      <w:r w:rsidRPr="008A64DC">
        <w:rPr>
          <w:rFonts w:eastAsia="標楷體"/>
        </w:rPr>
        <w:t>milliwatts</w:t>
      </w:r>
      <w:proofErr w:type="spellEnd"/>
      <w:r w:rsidRPr="008A64DC">
        <w:rPr>
          <w:rFonts w:eastAsia="標楷體"/>
        </w:rPr>
        <w:t xml:space="preserve">. With this </w:t>
      </w:r>
      <w:r w:rsidR="000631F4">
        <w:rPr>
          <w:rFonts w:eastAsia="標楷體" w:hint="eastAsia"/>
        </w:rPr>
        <w:t xml:space="preserve">terahertz generation scheme, </w:t>
      </w:r>
      <w:r w:rsidR="00FC5011">
        <w:rPr>
          <w:rFonts w:eastAsia="標楷體" w:hint="eastAsia"/>
        </w:rPr>
        <w:t xml:space="preserve">it </w:t>
      </w:r>
      <w:r w:rsidR="000631F4" w:rsidRPr="000631F4">
        <w:rPr>
          <w:rFonts w:eastAsia="標楷體"/>
        </w:rPr>
        <w:t>offers a very promising solution for future high-performance and compact terahertz imaging and sensing systems.</w:t>
      </w:r>
    </w:p>
    <w:p w14:paraId="78AC3147" w14:textId="77777777" w:rsidR="008A64DC" w:rsidRPr="00514DD1" w:rsidRDefault="008A64DC" w:rsidP="003664A8">
      <w:pPr>
        <w:widowControl/>
        <w:tabs>
          <w:tab w:val="left" w:pos="1200"/>
          <w:tab w:val="left" w:pos="7215"/>
        </w:tabs>
        <w:autoSpaceDE w:val="0"/>
        <w:autoSpaceDN w:val="0"/>
        <w:snapToGrid w:val="0"/>
        <w:textAlignment w:val="bottom"/>
        <w:rPr>
          <w:rFonts w:eastAsia="標楷體" w:hint="eastAsia"/>
          <w:b/>
        </w:rPr>
      </w:pPr>
    </w:p>
    <w:p w14:paraId="51641EEE" w14:textId="09036835" w:rsidR="007C364B" w:rsidRDefault="007C364B" w:rsidP="003664A8">
      <w:pPr>
        <w:widowControl/>
        <w:tabs>
          <w:tab w:val="left" w:pos="1200"/>
          <w:tab w:val="left" w:pos="7215"/>
        </w:tabs>
        <w:autoSpaceDE w:val="0"/>
        <w:autoSpaceDN w:val="0"/>
        <w:snapToGrid w:val="0"/>
        <w:textAlignment w:val="bottom"/>
        <w:rPr>
          <w:rFonts w:eastAsia="標楷體"/>
          <w:b/>
        </w:rPr>
      </w:pPr>
      <w:r>
        <w:rPr>
          <w:rFonts w:eastAsia="標楷體" w:hint="eastAsia"/>
          <w:b/>
        </w:rPr>
        <w:t>Short Bio:</w:t>
      </w:r>
    </w:p>
    <w:p w14:paraId="62C16144" w14:textId="77777777" w:rsidR="007C364B" w:rsidRDefault="007C364B" w:rsidP="003664A8">
      <w:pPr>
        <w:widowControl/>
        <w:tabs>
          <w:tab w:val="left" w:pos="1200"/>
          <w:tab w:val="left" w:pos="7215"/>
        </w:tabs>
        <w:autoSpaceDE w:val="0"/>
        <w:autoSpaceDN w:val="0"/>
        <w:snapToGrid w:val="0"/>
        <w:textAlignment w:val="bottom"/>
        <w:rPr>
          <w:rFonts w:eastAsia="標楷體"/>
          <w:b/>
        </w:rPr>
      </w:pPr>
    </w:p>
    <w:p w14:paraId="56107310" w14:textId="720AE759" w:rsidR="003664A8" w:rsidRPr="00BF0419" w:rsidRDefault="00683BED" w:rsidP="00BF0419">
      <w:pPr>
        <w:widowControl/>
        <w:tabs>
          <w:tab w:val="left" w:pos="1200"/>
          <w:tab w:val="left" w:pos="7215"/>
        </w:tabs>
        <w:autoSpaceDE w:val="0"/>
        <w:autoSpaceDN w:val="0"/>
        <w:snapToGrid w:val="0"/>
        <w:jc w:val="both"/>
        <w:textAlignment w:val="bottom"/>
        <w:rPr>
          <w:rFonts w:eastAsia="標楷體"/>
        </w:rPr>
      </w:pPr>
      <w:r w:rsidRPr="00683BED">
        <w:rPr>
          <w:rFonts w:eastAsia="標楷體"/>
        </w:rPr>
        <w:t xml:space="preserve">Shang-Hua Yang received his B.S. degree in electrical engineering from National Tsing Hua University, Taiwan, in 2007, M.S. degree in electrical engineering from National </w:t>
      </w:r>
      <w:proofErr w:type="spellStart"/>
      <w:r w:rsidRPr="00683BED">
        <w:rPr>
          <w:rFonts w:eastAsia="標楷體"/>
        </w:rPr>
        <w:t>Chiao</w:t>
      </w:r>
      <w:proofErr w:type="spellEnd"/>
      <w:r w:rsidRPr="00683BED">
        <w:rPr>
          <w:rFonts w:eastAsia="標楷體"/>
        </w:rPr>
        <w:t xml:space="preserve"> Tung University, Taiwan, in 2009, and Ph.D. degree in electrical engineering from the University of Michigan Ann Arbor in 2016. He is currently an assistant professor at electrical engineering department at National Tsing Hua University. Prof. Yang's research interests include microwave photonics, terahertz electronic devices, terahertz medical imaging, ultrafast electro-optics, and plasmonic photonics. He ha</w:t>
      </w:r>
      <w:r w:rsidR="007C364B">
        <w:rPr>
          <w:rFonts w:eastAsia="標楷體"/>
        </w:rPr>
        <w:t>s authored and coauthored over 6</w:t>
      </w:r>
      <w:r w:rsidRPr="00683BED">
        <w:rPr>
          <w:rFonts w:eastAsia="標楷體"/>
        </w:rPr>
        <w:t>0 refereed papers in peer-reviewed journals and conference proceedings on these topics. Prof. Yang has received several pres</w:t>
      </w:r>
      <w:r w:rsidR="009B0B38">
        <w:rPr>
          <w:rFonts w:eastAsia="標楷體"/>
        </w:rPr>
        <w:t xml:space="preserve">tigious awards and scholarships </w:t>
      </w:r>
      <w:r w:rsidRPr="00683BED">
        <w:rPr>
          <w:rFonts w:eastAsia="標楷體"/>
        </w:rPr>
        <w:t>including the United Microelectronics Corporation Scholarship (2007), Rotary Education Foundation Best Student Award (2008), SPIE Scholarship in Optics and photonics (2012), IEEE Antennas and Propagation Society Doctoral Research Award (2014), Rackham Summer Graduate Student Award (2015), Taiwanese Government Scholarship to Study Abroad (2015)</w:t>
      </w:r>
      <w:r w:rsidR="00756CF2">
        <w:rPr>
          <w:rFonts w:eastAsia="標楷體" w:hint="eastAsia"/>
        </w:rPr>
        <w:t xml:space="preserve">, and </w:t>
      </w:r>
      <w:r w:rsidR="00756CF2" w:rsidRPr="00756CF2">
        <w:rPr>
          <w:rFonts w:eastAsia="標楷體"/>
        </w:rPr>
        <w:t>Joan and Irvin Jacobs TIX Institute Industry Scholar</w:t>
      </w:r>
      <w:r w:rsidR="00756CF2">
        <w:rPr>
          <w:rFonts w:eastAsia="標楷體" w:hint="eastAsia"/>
        </w:rPr>
        <w:t xml:space="preserve"> (2017)</w:t>
      </w:r>
      <w:r w:rsidRPr="00683BED">
        <w:rPr>
          <w:rFonts w:eastAsia="標楷體"/>
        </w:rPr>
        <w:t>. He was also invited to attend the 66th Lindau Nobel Laureate Meeting in 2016.</w:t>
      </w:r>
    </w:p>
    <w:sectPr w:rsidR="003664A8" w:rsidRPr="00BF041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標楷體">
    <w:charset w:val="88"/>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60396"/>
    <w:multiLevelType w:val="hybridMultilevel"/>
    <w:tmpl w:val="6E202C22"/>
    <w:lvl w:ilvl="0" w:tplc="5F4C6CAC">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bordersDoNotSurroundHeader/>
  <w:bordersDoNotSurroundFooter/>
  <w:proofState w:spelling="clean" w:grammar="clean"/>
  <w:defaultTabStop w:val="480"/>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A8"/>
    <w:rsid w:val="000631F4"/>
    <w:rsid w:val="001C0E8C"/>
    <w:rsid w:val="003664A8"/>
    <w:rsid w:val="003D593C"/>
    <w:rsid w:val="00514DD1"/>
    <w:rsid w:val="005F37EC"/>
    <w:rsid w:val="005F6A93"/>
    <w:rsid w:val="00680937"/>
    <w:rsid w:val="00683BED"/>
    <w:rsid w:val="006D0381"/>
    <w:rsid w:val="00756CF2"/>
    <w:rsid w:val="007C364B"/>
    <w:rsid w:val="008A64DC"/>
    <w:rsid w:val="008C6125"/>
    <w:rsid w:val="009B0B38"/>
    <w:rsid w:val="00A67ADF"/>
    <w:rsid w:val="00A71E55"/>
    <w:rsid w:val="00AD164D"/>
    <w:rsid w:val="00B338C9"/>
    <w:rsid w:val="00BA41E9"/>
    <w:rsid w:val="00BF0419"/>
    <w:rsid w:val="00C81786"/>
    <w:rsid w:val="00CB0978"/>
    <w:rsid w:val="00D56F09"/>
    <w:rsid w:val="00E87851"/>
    <w:rsid w:val="00FC5011"/>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0FA5"/>
  <w15:chartTrackingRefBased/>
  <w15:docId w15:val="{41D877AC-BAAB-4EB7-A2AC-110C0754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64A8"/>
    <w:pPr>
      <w:widowControl w:val="0"/>
    </w:pPr>
    <w:rPr>
      <w:rFonts w:ascii="Times New Roman" w:eastAsia="新細明體"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4A8"/>
    <w:pPr>
      <w:ind w:leftChars="200" w:left="480"/>
    </w:pPr>
  </w:style>
  <w:style w:type="character" w:customStyle="1" w:styleId="nowrap">
    <w:name w:val="nowrap"/>
    <w:basedOn w:val="DefaultParagraphFont"/>
    <w:rsid w:val="003664A8"/>
  </w:style>
  <w:style w:type="character" w:styleId="CommentReference">
    <w:name w:val="annotation reference"/>
    <w:basedOn w:val="DefaultParagraphFont"/>
    <w:uiPriority w:val="99"/>
    <w:semiHidden/>
    <w:unhideWhenUsed/>
    <w:rsid w:val="00C81786"/>
    <w:rPr>
      <w:sz w:val="18"/>
      <w:szCs w:val="18"/>
    </w:rPr>
  </w:style>
  <w:style w:type="paragraph" w:styleId="CommentText">
    <w:name w:val="annotation text"/>
    <w:basedOn w:val="Normal"/>
    <w:link w:val="CommentTextChar"/>
    <w:uiPriority w:val="99"/>
    <w:semiHidden/>
    <w:unhideWhenUsed/>
    <w:rsid w:val="00C81786"/>
  </w:style>
  <w:style w:type="character" w:customStyle="1" w:styleId="CommentTextChar">
    <w:name w:val="Comment Text Char"/>
    <w:basedOn w:val="DefaultParagraphFont"/>
    <w:link w:val="CommentText"/>
    <w:uiPriority w:val="99"/>
    <w:semiHidden/>
    <w:rsid w:val="00C81786"/>
    <w:rPr>
      <w:rFonts w:ascii="Times New Roman" w:eastAsia="新細明體" w:hAnsi="Times New Roman" w:cs="Times New Roman"/>
      <w:szCs w:val="24"/>
    </w:rPr>
  </w:style>
  <w:style w:type="paragraph" w:styleId="CommentSubject">
    <w:name w:val="annotation subject"/>
    <w:basedOn w:val="CommentText"/>
    <w:next w:val="CommentText"/>
    <w:link w:val="CommentSubjectChar"/>
    <w:uiPriority w:val="99"/>
    <w:semiHidden/>
    <w:unhideWhenUsed/>
    <w:rsid w:val="00C81786"/>
    <w:rPr>
      <w:b/>
      <w:bCs/>
      <w:sz w:val="20"/>
      <w:szCs w:val="20"/>
    </w:rPr>
  </w:style>
  <w:style w:type="character" w:customStyle="1" w:styleId="CommentSubjectChar">
    <w:name w:val="Comment Subject Char"/>
    <w:basedOn w:val="CommentTextChar"/>
    <w:link w:val="CommentSubject"/>
    <w:uiPriority w:val="99"/>
    <w:semiHidden/>
    <w:rsid w:val="00C81786"/>
    <w:rPr>
      <w:rFonts w:ascii="Times New Roman" w:eastAsia="新細明體" w:hAnsi="Times New Roman" w:cs="Times New Roman"/>
      <w:b/>
      <w:bCs/>
      <w:sz w:val="20"/>
      <w:szCs w:val="20"/>
    </w:rPr>
  </w:style>
  <w:style w:type="paragraph" w:styleId="BalloonText">
    <w:name w:val="Balloon Text"/>
    <w:basedOn w:val="Normal"/>
    <w:link w:val="BalloonTextChar"/>
    <w:uiPriority w:val="99"/>
    <w:semiHidden/>
    <w:unhideWhenUsed/>
    <w:rsid w:val="00C81786"/>
    <w:rPr>
      <w:sz w:val="18"/>
      <w:szCs w:val="18"/>
    </w:rPr>
  </w:style>
  <w:style w:type="character" w:customStyle="1" w:styleId="BalloonTextChar">
    <w:name w:val="Balloon Text Char"/>
    <w:basedOn w:val="DefaultParagraphFont"/>
    <w:link w:val="BalloonText"/>
    <w:uiPriority w:val="99"/>
    <w:semiHidden/>
    <w:rsid w:val="00C81786"/>
    <w:rPr>
      <w:rFonts w:ascii="Times New Roman" w:eastAsia="新細明體" w:hAnsi="Times New Roman" w:cs="Times New Roman"/>
      <w:sz w:val="18"/>
      <w:szCs w:val="18"/>
    </w:rPr>
  </w:style>
  <w:style w:type="paragraph" w:customStyle="1" w:styleId="Default">
    <w:name w:val="Default"/>
    <w:rsid w:val="008A64DC"/>
    <w:pPr>
      <w:pBdr>
        <w:top w:val="nil"/>
        <w:left w:val="nil"/>
        <w:bottom w:val="nil"/>
        <w:right w:val="nil"/>
        <w:between w:val="nil"/>
        <w:bar w:val="nil"/>
      </w:pBdr>
    </w:pPr>
    <w:rPr>
      <w:rFonts w:ascii="Helvetica" w:eastAsia="Arial Unicode MS" w:hAnsi="Helvetica" w:cs="Arial Unicode MS"/>
      <w:color w:val="000000"/>
      <w:kern w:val="0"/>
      <w:sz w:val="22"/>
      <w:bdr w:val="nil"/>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CC4E46-B235-0844-A704-54C5C385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357</Words>
  <Characters>2039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ccu</dc:creator>
  <cp:keywords/>
  <dc:description/>
  <cp:lastModifiedBy>Shang Hua Yang</cp:lastModifiedBy>
  <cp:revision>35</cp:revision>
  <dcterms:created xsi:type="dcterms:W3CDTF">2017-02-23T03:32:00Z</dcterms:created>
  <dcterms:modified xsi:type="dcterms:W3CDTF">2018-04-11T02:48:00Z</dcterms:modified>
</cp:coreProperties>
</file>